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4"/>
          <w:szCs w:val="24"/>
        </w:rPr>
      </w:pPr>
      <w:r>
        <w:rPr>
          <w:rFonts w:eastAsia="Calibri" w:ascii="PT Astra Serif" w:hAnsi="PT Astra Serif"/>
          <w:b/>
          <w:sz w:val="24"/>
          <w:szCs w:val="24"/>
          <w:lang w:eastAsia="en-US"/>
        </w:rPr>
        <w:t>Обоснование начальной (максимальной) цены контракта,</w:t>
      </w:r>
      <w:r>
        <w:rPr>
          <w:rFonts w:ascii="PT Astra Serif" w:hAnsi="PT Astra Serif"/>
          <w:sz w:val="24"/>
          <w:szCs w:val="24"/>
        </w:rPr>
        <w:t xml:space="preserve"> </w:t>
      </w:r>
    </w:p>
    <w:p>
      <w:pPr>
        <w:pStyle w:val="Normal"/>
        <w:jc w:val="center"/>
        <w:rPr>
          <w:sz w:val="24"/>
          <w:szCs w:val="24"/>
        </w:rPr>
      </w:pPr>
      <w:r>
        <w:rPr>
          <w:rFonts w:eastAsia="Calibri" w:ascii="PT Astra Serif" w:hAnsi="PT Astra Serif"/>
          <w:b/>
          <w:sz w:val="24"/>
          <w:szCs w:val="24"/>
          <w:lang w:eastAsia="en-US"/>
        </w:rPr>
        <w:t>начальных цен единиц товара, работы, услуги</w:t>
      </w:r>
    </w:p>
    <w:p>
      <w:pPr>
        <w:pStyle w:val="Normal"/>
        <w:jc w:val="center"/>
        <w:rPr>
          <w:sz w:val="24"/>
          <w:szCs w:val="24"/>
        </w:rPr>
      </w:pPr>
      <w:r>
        <w:rPr>
          <w:rFonts w:ascii="PT Astra Serif" w:hAnsi="PT Astra Serif"/>
          <w:b/>
          <w:i/>
          <w:sz w:val="24"/>
          <w:szCs w:val="24"/>
          <w:lang w:val="ru-RU"/>
        </w:rPr>
        <w:t>Выполнение работ по ремонту системы вентиляции ГУЗ "УОКЦСВМП" по адресу: г.Ульяновск ул.Рылеева д.30/30, здание главного корпуса</w:t>
      </w:r>
    </w:p>
    <w:tbl>
      <w:tblPr>
        <w:tblW w:w="14850" w:type="dxa"/>
        <w:jc w:val="left"/>
        <w:tblInd w:w="109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964"/>
        <w:gridCol w:w="10719"/>
        <w:gridCol w:w="2107"/>
        <w:gridCol w:w="60"/>
      </w:tblGrid>
      <w:tr>
        <w:trPr>
          <w:trHeight w:val="486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Основные характеристики объекта закупки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соответствии с  Описанием объекта закупки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501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Используемый метод определения с обоснованием: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Проектно-сметный метод в соответствии с ч. 9 ст. 22 Федерального закона от 5 апреля 2013 г. № 44-ФЗ.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391" w:hRule="atLeast"/>
        </w:trPr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Расчёт</w:t>
            </w:r>
          </w:p>
        </w:tc>
        <w:tc>
          <w:tcPr>
            <w:tcW w:w="128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103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НМЦК определена в соответствии с локальными сметными расчетами (сметами):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Локальный сметный расчет (смета)№ ЛС-02-01-026н3И</w:t>
            </w:r>
            <w:r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«Выполнение работ по ремонту системы вентиляции ГУЗ "УОКЦСВМП" по адресу: г. Ульяновск ул. Рылеева д.30/30, здание главного корпуса» по адресу: г,Ульяновск, Рылеева д.30/30, здание главного корпуса 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на сумму 135 808,9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shd w:fill="FFFFFF" w:val="clear"/>
              </w:rPr>
              <w:t>2</w:t>
            </w:r>
            <w:r>
              <w:rPr>
                <w:rFonts w:ascii="PT Astra Serif" w:hAnsi="PT Astra Serif"/>
                <w:sz w:val="24"/>
                <w:szCs w:val="24"/>
                <w:shd w:fill="FFFFFF" w:val="clear"/>
                <w:lang w:val="ru-RU"/>
              </w:rPr>
              <w:t xml:space="preserve">. Смета 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val="ru-RU" w:eastAsia="ar-SA"/>
              </w:rPr>
              <w:t>с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 xml:space="preserve">оставлена инженером - 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>строителем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 xml:space="preserve">  Д.В. Лахтин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>ым</w:t>
            </w:r>
            <w:r>
              <w:rPr>
                <w:rFonts w:ascii="PT Astra Serif" w:hAnsi="PT Astra Serif"/>
                <w:spacing w:val="-1"/>
                <w:sz w:val="24"/>
                <w:szCs w:val="24"/>
                <w:shd w:fill="FFFFFF" w:val="clear"/>
                <w:lang w:eastAsia="ar-SA"/>
              </w:rPr>
              <w:t>,  имеет</w:t>
            </w:r>
            <w:r>
              <w:rPr>
                <w:rFonts w:ascii="PT Astra Serif" w:hAnsi="PT Astra Serif"/>
                <w:spacing w:val="-1"/>
                <w:sz w:val="24"/>
                <w:szCs w:val="24"/>
                <w:lang w:eastAsia="ar-SA"/>
              </w:rPr>
              <w:t xml:space="preserve"> техническое заключение негосударственной экспертизы, проверенной Обществом с ограниченной ответственностью «ПрофСметЭксперт» (контракт от 15.05.2025 №  100162717126100074). и общая сумма составляет </w:t>
            </w:r>
            <w:r>
              <w:rPr>
                <w:rFonts w:ascii="PT Astra Serif" w:hAnsi="PT Astra Serif"/>
                <w:b/>
                <w:bCs/>
                <w:spacing w:val="-1"/>
                <w:sz w:val="24"/>
                <w:szCs w:val="24"/>
                <w:lang w:eastAsia="ar-SA"/>
              </w:rPr>
              <w:t xml:space="preserve">135 808,92 </w:t>
            </w:r>
            <w:r>
              <w:rPr>
                <w:rFonts w:ascii="PT Astra Serif" w:hAnsi="PT Astra Serif"/>
                <w:b/>
                <w:bCs/>
                <w:sz w:val="24"/>
                <w:szCs w:val="24"/>
              </w:rPr>
              <w:t>рублей.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Расчеты, содержащиеся в сметной документации, соответствуют физическим объемом работ, включенным в ведомость объемов работ.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/>
              <w:t>Сметная стоимость текущего ремонта объекта капитального строительства определена ресурсно - индексным методом.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Сметная стоимость определена в соответствии со следующими нормативными документами: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4 августа 2020 г. № 421/пр «Об утверждении 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14 июля 2022 г. 571/пр об утверждении Методики применения сметных норм;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21.12.2020г. №812/пр «Методика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11.12.2020 №774/пр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Сметная стоимость определена в соответствии со следующими нормативными документами: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4 августа 2020 г. № 421/пр «Об утверждении Методики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14 июля 2022 г. 571/пр об утверждении Методики применения сметных норм;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21.12.2020г. №812/пр «Методика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Приказ Минстроя России от 11.12.2020 №774/пр «Методика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строительства»;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Постановление Правительства РФ от 05.03.2007 № 145 «О порядке организации и проведения государственной экспертизы проектной документации и результатов инженерных изысканий».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Стоимость строительных работ определена на основании: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- ведомости объемов работ.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Сметная документация составлена ресурсно-индексным методом в базе ФСНБ-2022 (с Изм. 1-17) по состоянию на 1 квартал 2026 г. Ульяновская область.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Нормативы накладных расходов приняты по видам работ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РФ от 21.12.2020 №812/пр.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Нормативы накладных расходов приняты по видам работ в соответствии с Методикой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РФ от 21.12.2020 №812/пр.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Начисление сметной прибыли принято по видам работ в соответствии с Методикой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строительства, утвержденной Приказом Минстроя России от 11.12.2020 №774/пр.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В сметном расчете учтены дополнительные затраты: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- </w:t>
            </w:r>
            <w:r>
              <w:rPr>
                <w:rFonts w:ascii="PT Astra Serif" w:hAnsi="PT Astra Serif"/>
                <w:b/>
                <w:bCs/>
                <w:sz w:val="24"/>
                <w:szCs w:val="24"/>
                <w:lang w:val="ru-RU"/>
              </w:rPr>
              <w:t>согласно Федеральному закону № 425-ФЗ от 28.11.2025 года налог на добавленную стоимость (НДС) принят в размере 22%.</w:t>
            </w:r>
          </w:p>
          <w:p>
            <w:pPr>
              <w:pStyle w:val="Normal"/>
              <w:jc w:val="both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Расчеты, содержащиеся в сметной документации по объекту: «Выполнение работ по ремонту системы вентиляции ГУЗ "УОКЦСВМП" по адресу: г. Ульяновск, ул. Рылеева д.30/30, здание главного корпуса» по адресу: г,Ульяновск, ул. Рылеева д.30/30, здание главного корпуса, соответствует сметным нормативам, включенным в государственный реестр сметных нормативов, физическим объемам работ, конструктивным, организационно — технологическим и другим решениям, предусмотренным представленной документацией.</w:t>
            </w:r>
          </w:p>
        </w:tc>
        <w:tc>
          <w:tcPr>
            <w:tcW w:w="60" w:type="dxa"/>
            <w:tcBorders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236" w:hRule="atLeast"/>
          <w:cantSplit w:val="true"/>
        </w:trPr>
        <w:tc>
          <w:tcPr>
            <w:tcW w:w="12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outlineLvl w:val="1"/>
              <w:rPr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Дата подготовки обоснования: 30.06.2026 г.</w:t>
            </w:r>
          </w:p>
        </w:tc>
        <w:tc>
          <w:tcPr>
            <w:tcW w:w="21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ind w:hanging="0" w:left="0"/>
              <w:jc w:val="center"/>
              <w:outlineLvl w:val="1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13438" w:leader="none"/>
        </w:tabs>
        <w:ind w:right="3720"/>
        <w:jc w:val="both"/>
        <w:rPr>
          <w:sz w:val="24"/>
          <w:szCs w:val="24"/>
        </w:rPr>
      </w:pPr>
      <w:r>
        <w:rPr>
          <w:rFonts w:ascii="PT Astra Serif" w:hAnsi="PT Astra Serif"/>
          <w:b/>
          <w:bCs/>
          <w:sz w:val="24"/>
          <w:szCs w:val="24"/>
        </w:rPr>
        <w:t>Руководитель контрактной службы:</w:t>
      </w:r>
    </w:p>
    <w:tbl>
      <w:tblPr>
        <w:tblW w:w="15038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7519"/>
        <w:gridCol w:w="7519"/>
      </w:tblGrid>
      <w:tr>
        <w:trPr>
          <w:trHeight w:val="352" w:hRule="atLeast"/>
        </w:trPr>
        <w:tc>
          <w:tcPr>
            <w:tcW w:w="751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Заместитель главного врача по экономическим вопросам</w:t>
            </w:r>
          </w:p>
        </w:tc>
        <w:tc>
          <w:tcPr>
            <w:tcW w:w="7519" w:type="dxa"/>
            <w:tcBorders>
              <w:bottom w:val="single" w:sz="4" w:space="0" w:color="000000"/>
            </w:tcBorders>
          </w:tcPr>
          <w:p>
            <w:pPr>
              <w:pStyle w:val="Normal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</w:r>
          </w:p>
          <w:p>
            <w:pPr>
              <w:pStyle w:val="Normal"/>
              <w:jc w:val="right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/Стратонова Е.Н./</w:t>
            </w:r>
          </w:p>
        </w:tc>
      </w:tr>
      <w:tr>
        <w:trPr>
          <w:trHeight w:val="197" w:hRule="atLeast"/>
        </w:trPr>
        <w:tc>
          <w:tcPr>
            <w:tcW w:w="751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(должность)</w:t>
            </w:r>
          </w:p>
        </w:tc>
        <w:tc>
          <w:tcPr>
            <w:tcW w:w="7519" w:type="dxa"/>
            <w:tcBorders/>
          </w:tcPr>
          <w:p>
            <w:pPr>
              <w:pStyle w:val="Normal"/>
              <w:jc w:val="center"/>
              <w:rPr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(подпись/расшифровка подписи)</w:t>
            </w:r>
          </w:p>
        </w:tc>
      </w:tr>
    </w:tbl>
    <w:tbl>
      <w:tblPr>
        <w:tblpPr w:vertAnchor="text" w:horzAnchor="margin" w:leftFromText="180" w:rightFromText="180" w:tblpX="0" w:tblpY="48"/>
        <w:tblW w:w="2425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firstRow="0" w:noVBand="0" w:lastRow="0" w:firstColumn="0" w:lastColumn="0" w:noHBand="0" w:val="0000"/>
      </w:tblPr>
      <w:tblGrid>
        <w:gridCol w:w="153"/>
        <w:gridCol w:w="417"/>
        <w:gridCol w:w="12"/>
        <w:gridCol w:w="1032"/>
        <w:gridCol w:w="276"/>
        <w:gridCol w:w="276"/>
        <w:gridCol w:w="259"/>
      </w:tblGrid>
      <w:tr>
        <w:trPr>
          <w:trHeight w:val="268" w:hRule="atLeast"/>
        </w:trPr>
        <w:tc>
          <w:tcPr>
            <w:tcW w:w="153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“</w:t>
            </w:r>
          </w:p>
        </w:tc>
        <w:tc>
          <w:tcPr>
            <w:tcW w:w="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30</w:t>
            </w:r>
          </w:p>
        </w:tc>
        <w:tc>
          <w:tcPr>
            <w:tcW w:w="12" w:type="dxa"/>
            <w:tcBorders/>
            <w:vAlign w:val="bottom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”</w:t>
            </w:r>
          </w:p>
        </w:tc>
        <w:tc>
          <w:tcPr>
            <w:tcW w:w="103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июня</w:t>
            </w:r>
          </w:p>
        </w:tc>
        <w:tc>
          <w:tcPr>
            <w:tcW w:w="276" w:type="dxa"/>
            <w:tcBorders/>
            <w:vAlign w:val="bottom"/>
          </w:tcPr>
          <w:p>
            <w:pPr>
              <w:pStyle w:val="Normal"/>
              <w:jc w:val="right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20</w:t>
            </w:r>
          </w:p>
        </w:tc>
        <w:tc>
          <w:tcPr>
            <w:tcW w:w="276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26</w:t>
            </w:r>
          </w:p>
        </w:tc>
        <w:tc>
          <w:tcPr>
            <w:tcW w:w="259" w:type="dxa"/>
            <w:tcBorders/>
            <w:vAlign w:val="bottom"/>
          </w:tcPr>
          <w:p>
            <w:pPr>
              <w:pStyle w:val="Normal"/>
              <w:ind w:left="57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2"/>
              </w:rPr>
              <w:t>г.</w:t>
            </w:r>
          </w:p>
        </w:tc>
      </w:tr>
    </w:tbl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</w:r>
    </w:p>
    <w:p>
      <w:pPr>
        <w:pStyle w:val="Normal"/>
        <w:rPr>
          <w:rFonts w:ascii="PT Astra Serif" w:hAnsi="PT Astra Serif"/>
          <w:sz w:val="16"/>
          <w:szCs w:val="20"/>
        </w:rPr>
      </w:pPr>
      <w:r>
        <w:rPr>
          <w:rFonts w:ascii="PT Astra Serif" w:hAnsi="PT Astra Serif"/>
          <w:sz w:val="16"/>
          <w:szCs w:val="20"/>
        </w:rPr>
        <w:t>Иполнитель: Сидорова Екатерина Николаевна, тел: (8422) 44-23-29</w:t>
      </w:r>
      <w:bookmarkStart w:id="0" w:name="_GoBack"/>
      <w:bookmarkEnd w:id="0"/>
    </w:p>
    <w:sectPr>
      <w:type w:val="nextPage"/>
      <w:pgSz w:orient="landscape" w:w="16838" w:h="11906"/>
      <w:pgMar w:left="1134" w:right="284" w:gutter="0" w:header="0" w:top="709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PT Astra Serif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13655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uiPriority w:val="99"/>
    <w:qFormat/>
    <w:rsid w:val="00713655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Style14"/>
    <w:uiPriority w:val="99"/>
    <w:unhideWhenUsed/>
    <w:rsid w:val="00713655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Arial"/>
    </w:rPr>
  </w:style>
  <w:style w:type="paragraph" w:styleId="ConsPlusCell" w:customStyle="1">
    <w:name w:val="ConsPlusCell"/>
    <w:qFormat/>
    <w:rsid w:val="00713655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17">
    <w:name w:val="Содержимое врезки"/>
    <w:basedOn w:val="Normal"/>
    <w:qFormat/>
    <w:pPr/>
    <w:rPr/>
  </w:style>
  <w:style w:type="paragraph" w:styleId="user2">
    <w:name w:val="Содержимое врезки (user)"/>
    <w:basedOn w:val="Normal"/>
    <w:qFormat/>
    <w:pPr/>
    <w:rPr/>
  </w:style>
  <w:style w:type="paragraph" w:styleId="user3">
    <w:name w:val="Содержимое таблицы (user)"/>
    <w:basedOn w:val="Normal"/>
    <w:qFormat/>
    <w:pPr>
      <w:widowControl w:val="false"/>
      <w:suppressLineNumbers/>
    </w:pPr>
    <w:rPr/>
  </w:style>
  <w:style w:type="paragraph" w:styleId="user4">
    <w:name w:val="Заголовок таблицы (user)"/>
    <w:basedOn w:val="user3"/>
    <w:qFormat/>
    <w:pPr>
      <w:suppressLineNumbers/>
      <w:jc w:val="center"/>
    </w:pPr>
    <w:rPr>
      <w:b/>
      <w:bCs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Application>LibreOffice/25.8.7.3$Windows_X86_64 LibreOffice_project/30742500f2d3eb4366ac312fa33d3dcabdb3eba5</Application>
  <AppVersion>15.0000</AppVersion>
  <Pages>2</Pages>
  <Words>677</Words>
  <Characters>4986</Characters>
  <CharactersWithSpaces>5624</CharactersWithSpaces>
  <Paragraphs>45</Paragraphs>
  <Company>RePack by SPecialiST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2023-06-06T11:55:00Z</dcterms:created>
  <dc:creator>Аня</dc:creator>
  <dc:description/>
  <dc:language>ru-RU</dc:language>
  <cp:lastModifiedBy/>
  <cp:lastPrinted>2026-06-29T16:18:27Z</cp:lastPrinted>
  <dcterms:modified xsi:type="dcterms:W3CDTF">2026-06-29T16:23:00Z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